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2200976</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1B51BBC2" w:rsidR="00E13C27" w:rsidRPr="00CF1AA2" w:rsidRDefault="008F6665" w:rsidP="00A918BF">
      <w:pPr>
        <w:pStyle w:val="David"/>
        <w:spacing w:before="102"/>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C" w14:textId="5E50F77E" w:rsidR="00E13C27" w:rsidRDefault="00904591" w:rsidP="00A918BF">
      <w:pPr>
        <w:pStyle w:val="David"/>
        <w:spacing w:line="240" w:lineRule="auto"/>
        <w:ind w:left="6424" w:firstLine="56"/>
        <w:rPr>
          <w:rtl/>
        </w:rPr>
      </w:pPr>
      <w:bookmarkStart w:id="6" w:name="Private_Number"/>
      <w:r>
        <w:rPr>
          <w:rFonts w:hint="cs"/>
          <w:rtl/>
        </w:rPr>
        <w:t>פ/2379/25</w:t>
      </w:r>
      <w:bookmarkEnd w:id="6"/>
    </w:p>
    <w:p w14:paraId="7F6961AD" w14:textId="77777777" w:rsidR="00E13C27" w:rsidRPr="00F67051" w:rsidRDefault="00A443CF" w:rsidP="0021633A">
      <w:pPr>
        <w:pStyle w:val="HeadHatzaotHok"/>
        <w:rPr>
          <w:rtl/>
        </w:rPr>
      </w:pPr>
      <w:bookmarkStart w:id="7" w:name="LGS_Subject"/>
      <w:r>
        <w:rPr>
          <w:rFonts w:hint="cs"/>
          <w:rtl/>
        </w:rPr>
        <w:t xml:space="preserve">הצעת חוק הערבות (תיקון – ביטול החוק), </w:t>
      </w:r>
      <w:proofErr w:type="spellStart"/>
      <w:r>
        <w:rPr>
          <w:rFonts w:hint="cs"/>
          <w:rtl/>
        </w:rPr>
        <w:t>התשפ"ג</w:t>
      </w:r>
      <w:proofErr w:type="spellEnd"/>
      <w:r>
        <w:rPr>
          <w:rFonts w:hint="cs"/>
          <w:rtl/>
        </w:rPr>
        <w:t>–2023</w:t>
      </w:r>
      <w:bookmarkEnd w:id="7"/>
    </w:p>
    <w:p w14:paraId="7F6961AE" w14:textId="77777777" w:rsidR="00E13C27" w:rsidRDefault="00E13C27" w:rsidP="0021633A">
      <w:pPr>
        <w:pStyle w:val="HeadDivreiHesber"/>
        <w:spacing w:before="0" w:after="0"/>
        <w:rPr>
          <w:rtl/>
        </w:rPr>
      </w:pPr>
    </w:p>
    <w:tbl>
      <w:tblPr>
        <w:bidiVisual/>
        <w:tblW w:w="9638" w:type="dxa"/>
        <w:tblLayout w:type="fixed"/>
        <w:tblCellMar>
          <w:top w:w="57" w:type="dxa"/>
          <w:left w:w="0" w:type="dxa"/>
          <w:bottom w:w="57" w:type="dxa"/>
          <w:right w:w="0" w:type="dxa"/>
        </w:tblCellMar>
        <w:tblLook w:val="04A0" w:firstRow="1" w:lastRow="0" w:firstColumn="1" w:lastColumn="0" w:noHBand="0" w:noVBand="1"/>
      </w:tblPr>
      <w:tblGrid>
        <w:gridCol w:w="1871"/>
        <w:gridCol w:w="624"/>
        <w:gridCol w:w="7143"/>
      </w:tblGrid>
      <w:tr w:rsidR="00D32A99" w:rsidRPr="00725113" w14:paraId="6ABF7063" w14:textId="77777777" w:rsidTr="00A918BF">
        <w:trPr>
          <w:cantSplit/>
        </w:trPr>
        <w:tc>
          <w:tcPr>
            <w:tcW w:w="1871" w:type="dxa"/>
            <w:hideMark/>
          </w:tcPr>
          <w:p w14:paraId="7EEB51B8" w14:textId="77777777" w:rsidR="00D32A99" w:rsidRPr="00CD785D" w:rsidRDefault="00D32A99" w:rsidP="00CD5282">
            <w:pPr>
              <w:pStyle w:val="TableSideHeading"/>
            </w:pPr>
            <w:r w:rsidRPr="00CD785D">
              <w:rPr>
                <w:rtl/>
              </w:rPr>
              <w:t>ביטול החוק</w:t>
            </w:r>
          </w:p>
        </w:tc>
        <w:tc>
          <w:tcPr>
            <w:tcW w:w="624" w:type="dxa"/>
            <w:hideMark/>
          </w:tcPr>
          <w:p w14:paraId="24AB097D" w14:textId="77777777" w:rsidR="00D32A99" w:rsidRPr="00CD785D" w:rsidRDefault="00D32A99" w:rsidP="00CD5282">
            <w:pPr>
              <w:pStyle w:val="TableText"/>
              <w:jc w:val="both"/>
            </w:pPr>
            <w:r w:rsidRPr="00CD785D">
              <w:rPr>
                <w:rtl/>
              </w:rPr>
              <w:t>1.</w:t>
            </w:r>
          </w:p>
        </w:tc>
        <w:tc>
          <w:tcPr>
            <w:tcW w:w="7143" w:type="dxa"/>
            <w:hideMark/>
          </w:tcPr>
          <w:p w14:paraId="5097CDCF" w14:textId="77777777" w:rsidR="00D32A99" w:rsidRPr="00CD785D" w:rsidRDefault="00D32A99" w:rsidP="00A918BF">
            <w:pPr>
              <w:pStyle w:val="TableBlock"/>
            </w:pPr>
            <w:r w:rsidRPr="00CD785D">
              <w:rPr>
                <w:rtl/>
              </w:rPr>
              <w:t xml:space="preserve">חוק הערבות, </w:t>
            </w:r>
            <w:proofErr w:type="spellStart"/>
            <w:r w:rsidRPr="00CD785D">
              <w:rPr>
                <w:rtl/>
              </w:rPr>
              <w:t>התשכ"ז</w:t>
            </w:r>
            <w:proofErr w:type="spellEnd"/>
            <w:r w:rsidRPr="00CD785D">
              <w:rPr>
                <w:rtl/>
              </w:rPr>
              <w:t>–1967</w:t>
            </w:r>
            <w:r w:rsidRPr="00A918BF">
              <w:rPr>
                <w:rFonts w:ascii="David" w:hAnsi="David"/>
                <w:sz w:val="26"/>
                <w:vertAlign w:val="superscript"/>
                <w:rtl/>
              </w:rPr>
              <w:footnoteReference w:id="2"/>
            </w:r>
            <w:r w:rsidRPr="00CD785D">
              <w:rPr>
                <w:rtl/>
              </w:rPr>
              <w:t xml:space="preserve"> – בטל.</w:t>
            </w:r>
          </w:p>
        </w:tc>
      </w:tr>
    </w:tbl>
    <w:p w14:paraId="7F6961CA" w14:textId="77777777" w:rsidR="002D1EE3" w:rsidRDefault="002D1EE3" w:rsidP="002D1EE3">
      <w:pPr>
        <w:pStyle w:val="HeadDivreiHesber"/>
        <w:rPr>
          <w:rtl/>
        </w:rPr>
      </w:pPr>
      <w:r w:rsidRPr="0027450A">
        <w:rPr>
          <w:rFonts w:hint="cs"/>
          <w:rtl/>
        </w:rPr>
        <w:t>דברי הסבר</w:t>
      </w:r>
    </w:p>
    <w:p w14:paraId="5DBE35F4" w14:textId="77777777" w:rsidR="00D32A99" w:rsidRDefault="00D32A99" w:rsidP="00A95051">
      <w:pPr>
        <w:pStyle w:val="Hesber"/>
        <w:spacing w:line="276" w:lineRule="auto"/>
        <w:rPr>
          <w:rtl/>
        </w:rPr>
      </w:pPr>
      <w:r>
        <w:rPr>
          <w:rtl/>
        </w:rPr>
        <w:t xml:space="preserve">רבים מאזרחיה הבוגרים של מדינת ישראל נתקלים בבקשה מצד יקיריהם לחתום כערבים בעבור הלוואה שברצונם לקחת, שתשמש אותם לרכישת דירה או פתיחת עסק. החתימה על ערבות היא החלטה שטומנת בחובה סיכון כלכלי גדול, ומתבססת במקרים רבים על הקשר הרגשי עם החייב, על היעדר תמונה מלאה לגבי מצבו הכלכלי, או על חוסר מודעות לגבי השלכות החתימה כערב. אזרחים מן המניין עלולים למצוא לפתע כי ביתם עוקל או שהם חסרי ממון, במידה והחייב אינו פורע את חובו לנושה. </w:t>
      </w:r>
    </w:p>
    <w:p w14:paraId="6528BE82" w14:textId="77777777" w:rsidR="00D32A99" w:rsidRDefault="00D32A99" w:rsidP="00A95051">
      <w:pPr>
        <w:pStyle w:val="Hesber"/>
        <w:spacing w:line="276" w:lineRule="auto"/>
        <w:rPr>
          <w:rtl/>
        </w:rPr>
      </w:pPr>
      <w:r>
        <w:rPr>
          <w:rtl/>
        </w:rPr>
        <w:t>למוסדות הפיננסיים כמו הבנקים יש אינטרס לאפשר מתן הלוואות – הן הלוואות שיש בהן סיכון נמוך לאי-פירעון, והן הלוואות שהסיכון בהן גבוה, בשל הביטחונות והערבונות שלוקחים גופים אלו עבור ההלוואות. ואולם, המוסר מחייב כי מוסדות אלו ייתנו אשראי בהתאם ליכולת ההחזרה של הלווה עצמו, ולא מעבר לכך, אחרת מצבם הכלכלי של הלווים אשר אינם עומדים במסגרת ההלוואה עלול להידרדר עד מאד.</w:t>
      </w:r>
    </w:p>
    <w:p w14:paraId="67217E81" w14:textId="77777777" w:rsidR="00D32A99" w:rsidRDefault="00D32A99" w:rsidP="00A95051">
      <w:pPr>
        <w:pStyle w:val="Hesber"/>
        <w:spacing w:line="276" w:lineRule="auto"/>
        <w:rPr>
          <w:rtl/>
        </w:rPr>
      </w:pPr>
      <w:r>
        <w:rPr>
          <w:rtl/>
        </w:rPr>
        <w:t>לעניין זה מוצע להבחין בין ערבות לעירבון. ביכולתם של הבנקים להתנות את ההלוואה בתנאים שונים הקשורים לנכסים המצויים ברשות הלווה, דוגמת משכנתה, מאחר ויש בכך הגיון כחלק מהעסקה הכלכלית. אולם, ערבות איננה עירבון, ובחתימת ערבים הבנק מערב בעסקה את מי שזו לא עסקתם.</w:t>
      </w:r>
    </w:p>
    <w:p w14:paraId="0AFF0FAE" w14:textId="77777777" w:rsidR="00D32A99" w:rsidRDefault="00D32A99" w:rsidP="00A95051">
      <w:pPr>
        <w:pStyle w:val="Hesber"/>
        <w:spacing w:line="276" w:lineRule="auto"/>
        <w:rPr>
          <w:rtl/>
        </w:rPr>
      </w:pPr>
      <w:r>
        <w:rPr>
          <w:rtl/>
        </w:rPr>
        <w:t xml:space="preserve">ראוי כי במקרה של קריסה כלכלית וחוסר יכולת לפרוע את החוב שנוצר עקב ההלוואה ניתן יהיה להגיע להסדרת החוב כך שתכלול את מי שמולו נעשתה העסקה – החייב, וזאת בהתאם למציאות החדשה שנקלע אליה וללא פגיעה במקורביו. </w:t>
      </w:r>
    </w:p>
    <w:p w14:paraId="76094081" w14:textId="77777777" w:rsidR="00D32A99" w:rsidRDefault="00D32A99" w:rsidP="00A95051">
      <w:pPr>
        <w:pStyle w:val="Hesber"/>
        <w:spacing w:line="276" w:lineRule="auto"/>
        <w:rPr>
          <w:rtl/>
        </w:rPr>
      </w:pPr>
      <w:r>
        <w:rPr>
          <w:rtl/>
        </w:rPr>
        <w:t xml:space="preserve">לפיכך מוצע לבטל את חוק הערבות, </w:t>
      </w:r>
      <w:proofErr w:type="spellStart"/>
      <w:r>
        <w:rPr>
          <w:rtl/>
        </w:rPr>
        <w:t>התשכ"ז</w:t>
      </w:r>
      <w:proofErr w:type="spellEnd"/>
      <w:r>
        <w:rPr>
          <w:rtl/>
        </w:rPr>
        <w:t>–1967.</w:t>
      </w:r>
    </w:p>
    <w:p w14:paraId="5BFC7AD7" w14:textId="71C92E4F" w:rsidR="00D32A99" w:rsidRDefault="00D32A99" w:rsidP="00A95051">
      <w:pPr>
        <w:pStyle w:val="Hesber"/>
        <w:spacing w:line="276" w:lineRule="auto"/>
        <w:rPr>
          <w:rtl/>
        </w:rPr>
      </w:pPr>
      <w:r>
        <w:rPr>
          <w:rtl/>
        </w:rPr>
        <w:t>הצעות חוק זהות הונחו על שולחן הכנסת העשרים על ידי חברת הכנסת מרב מיכאל</w:t>
      </w:r>
      <w:r w:rsidR="00A918BF">
        <w:rPr>
          <w:rtl/>
        </w:rPr>
        <w:t>י וקבוצת חברי הכנסת (פ/5237/20)</w:t>
      </w:r>
      <w:r>
        <w:rPr>
          <w:rtl/>
        </w:rPr>
        <w:t xml:space="preserve"> </w:t>
      </w:r>
      <w:r w:rsidR="00A918BF">
        <w:rPr>
          <w:rFonts w:hint="cs"/>
          <w:rtl/>
        </w:rPr>
        <w:t>ו</w:t>
      </w:r>
      <w:r>
        <w:rPr>
          <w:rtl/>
        </w:rPr>
        <w:t xml:space="preserve">על שולחן הכנסת העשרים ושלוש </w:t>
      </w:r>
      <w:r w:rsidR="00A918BF">
        <w:rPr>
          <w:rtl/>
        </w:rPr>
        <w:t>ועל שולחן הכנסת העשרים וארבע</w:t>
      </w:r>
      <w:r w:rsidR="00A918BF">
        <w:rPr>
          <w:rtl/>
        </w:rPr>
        <w:t xml:space="preserve"> </w:t>
      </w:r>
      <w:r>
        <w:rPr>
          <w:rtl/>
        </w:rPr>
        <w:t xml:space="preserve">על ידי </w:t>
      </w:r>
      <w:r w:rsidR="00A918BF">
        <w:rPr>
          <w:rtl/>
        </w:rPr>
        <w:t>חברת הכנסת מרב מיכאלי (פ/948/23</w:t>
      </w:r>
      <w:r w:rsidR="00A918BF">
        <w:rPr>
          <w:rFonts w:hint="cs"/>
          <w:rtl/>
        </w:rPr>
        <w:t>;</w:t>
      </w:r>
      <w:r>
        <w:rPr>
          <w:rtl/>
        </w:rPr>
        <w:t xml:space="preserve"> פ/1170/24)</w:t>
      </w:r>
      <w:r>
        <w:rPr>
          <w:rFonts w:hint="cs"/>
          <w:rtl/>
        </w:rPr>
        <w:t>.</w:t>
      </w:r>
    </w:p>
    <w:p w14:paraId="7F6961CB" w14:textId="18D4DE35" w:rsidR="00E13C27" w:rsidRDefault="00FB26D4" w:rsidP="00A95051">
      <w:pPr>
        <w:pStyle w:val="Hesber"/>
        <w:spacing w:line="276" w:lineRule="auto"/>
        <w:rPr>
          <w:rtl/>
        </w:rPr>
      </w:pPr>
      <w:r>
        <w:rPr>
          <w:rFonts w:hint="cs"/>
          <w:rtl/>
        </w:rPr>
        <w:t xml:space="preserve">הצעת החוק זהה </w:t>
      </w:r>
      <w:proofErr w:type="spellStart"/>
      <w:r>
        <w:rPr>
          <w:rFonts w:hint="cs"/>
          <w:rtl/>
        </w:rPr>
        <w:t>לפ</w:t>
      </w:r>
      <w:proofErr w:type="spellEnd"/>
      <w:r>
        <w:rPr>
          <w:rFonts w:hint="cs"/>
          <w:rtl/>
        </w:rPr>
        <w:t xml:space="preserve">/1170/24 ולפיכך לא נבדקה מחדש על ידי הלשכה המשפטית של הכנסת. </w:t>
      </w:r>
    </w:p>
    <w:p w14:paraId="144C9B9A" w14:textId="77777777" w:rsidR="00D628EF" w:rsidRDefault="00A95051" w:rsidP="00A95051">
      <w:pPr>
        <w:spacing w:line="276" w:lineRule="auto"/>
        <w:jc w:val="left"/>
      </w:pPr>
      <w:bookmarkStart w:id="8" w:name="selectedDocDateB"/>
      <w:bookmarkEnd w:id="8"/>
      <w:r>
        <w:rPr>
          <w:rFonts w:eastAsia="David" w:hint="cs"/>
          <w:sz w:val="26"/>
          <w:szCs w:val="26"/>
          <w:rtl/>
        </w:rPr>
        <w:t>--------------------------------</w:t>
      </w:r>
    </w:p>
    <w:p w14:paraId="59FA2029" w14:textId="77777777" w:rsidR="00D628EF" w:rsidRDefault="00A95051" w:rsidP="00A95051">
      <w:pPr>
        <w:spacing w:line="276" w:lineRule="auto"/>
        <w:jc w:val="left"/>
      </w:pPr>
      <w:r>
        <w:rPr>
          <w:rFonts w:eastAsia="David" w:hint="cs"/>
          <w:sz w:val="26"/>
          <w:szCs w:val="26"/>
          <w:rtl/>
        </w:rPr>
        <w:t>הוגשה ליו"ר הכנסת והסגנים</w:t>
      </w:r>
    </w:p>
    <w:p w14:paraId="6BB0AE17" w14:textId="77777777" w:rsidR="00D628EF" w:rsidRDefault="00A95051" w:rsidP="00A95051">
      <w:pPr>
        <w:spacing w:line="276" w:lineRule="auto"/>
        <w:jc w:val="left"/>
      </w:pPr>
      <w:r>
        <w:rPr>
          <w:rFonts w:eastAsia="David" w:hint="cs"/>
          <w:sz w:val="26"/>
          <w:szCs w:val="26"/>
          <w:rtl/>
        </w:rPr>
        <w:t xml:space="preserve">והונחה על שולחן הכנסת </w:t>
      </w:r>
      <w:bookmarkStart w:id="9" w:name="_GoBack"/>
      <w:bookmarkEnd w:id="9"/>
      <w:r>
        <w:rPr>
          <w:rFonts w:eastAsia="David" w:hint="cs"/>
          <w:sz w:val="26"/>
          <w:szCs w:val="26"/>
          <w:rtl/>
        </w:rPr>
        <w:t>ביום</w:t>
      </w:r>
    </w:p>
    <w:p w14:paraId="7413A974" w14:textId="77777777" w:rsidR="00D628EF" w:rsidRDefault="00A95051" w:rsidP="00A95051">
      <w:pPr>
        <w:spacing w:line="276" w:lineRule="auto"/>
        <w:jc w:val="left"/>
      </w:pPr>
      <w:r>
        <w:rPr>
          <w:rFonts w:eastAsia="David" w:hint="cs"/>
          <w:sz w:val="26"/>
          <w:szCs w:val="26"/>
          <w:rtl/>
        </w:rPr>
        <w:t xml:space="preserve">כ"ב בשבט התשפ"ג (13.02.2023) </w:t>
      </w:r>
    </w:p>
    <w:p w14:paraId="19F2D7C7" w14:textId="77777777" w:rsidR="00D628EF" w:rsidRDefault="00D628EF">
      <w:pPr>
        <w:spacing w:line="276" w:lineRule="auto"/>
        <w:jc w:val="left"/>
      </w:pPr>
    </w:p>
    <w:sectPr w:rsidR="00D628EF" w:rsidSect="00A918BF">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1070C550"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A918BF">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sidP="00A918BF">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4D477F46" w14:textId="77777777" w:rsidR="00D32A99" w:rsidRDefault="00D32A99" w:rsidP="00D32A99">
      <w:pPr>
        <w:pStyle w:val="a4"/>
      </w:pPr>
      <w:r>
        <w:rPr>
          <w:rStyle w:val="a6"/>
        </w:rPr>
        <w:footnoteRef/>
      </w:r>
      <w:r>
        <w:rPr>
          <w:rtl/>
        </w:rPr>
        <w:t xml:space="preserve"> ס"ח </w:t>
      </w:r>
      <w:proofErr w:type="spellStart"/>
      <w:r>
        <w:rPr>
          <w:rtl/>
        </w:rPr>
        <w:t>התשכ"ז</w:t>
      </w:r>
      <w:proofErr w:type="spellEnd"/>
      <w:r>
        <w:rPr>
          <w:rtl/>
        </w:rPr>
        <w:t xml:space="preserve">, עמ' 46.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18BF"/>
    <w:rsid w:val="00A942C1"/>
    <w:rsid w:val="00A9505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32A99"/>
    <w:rsid w:val="00D628EF"/>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 w:val="00FB26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DDC34FC3-7AA1-4095-98C8-AC365BB2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8BF"/>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A918BF"/>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A918BF"/>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A918BF"/>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A918BF"/>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A918BF"/>
    <w:pPr>
      <w:spacing w:line="259" w:lineRule="auto"/>
      <w:outlineLvl w:val="4"/>
    </w:pPr>
    <w:rPr>
      <w:color w:val="000000" w:themeColor="text1"/>
    </w:rPr>
  </w:style>
  <w:style w:type="character" w:default="1" w:styleId="a0">
    <w:name w:val="Default Paragraph Font"/>
    <w:uiPriority w:val="1"/>
    <w:semiHidden/>
    <w:unhideWhenUsed/>
    <w:rsid w:val="00A918B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A918BF"/>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A918BF"/>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A918BF"/>
    <w:rPr>
      <w:sz w:val="36"/>
      <w:szCs w:val="52"/>
    </w:rPr>
  </w:style>
  <w:style w:type="paragraph" w:customStyle="1" w:styleId="Cover3-Haknesset">
    <w:name w:val="Cover 3-Haknesset"/>
    <w:basedOn w:val="Cover1-Reshumot"/>
    <w:rsid w:val="00A918BF"/>
    <w:rPr>
      <w:b/>
      <w:bCs/>
      <w:spacing w:val="60"/>
    </w:rPr>
  </w:style>
  <w:style w:type="paragraph" w:customStyle="1" w:styleId="Cover4-Date">
    <w:name w:val="Cover 4-Date"/>
    <w:basedOn w:val="a"/>
    <w:rsid w:val="00A918BF"/>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A918BF"/>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A918BF"/>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A918BF"/>
    <w:pPr>
      <w:spacing w:before="120" w:after="120"/>
    </w:pPr>
    <w:rPr>
      <w:color w:val="FF0000"/>
      <w:w w:val="80"/>
    </w:rPr>
  </w:style>
  <w:style w:type="paragraph" w:styleId="a3">
    <w:name w:val="endnote text"/>
    <w:basedOn w:val="a"/>
    <w:semiHidden/>
    <w:rsid w:val="00A918BF"/>
    <w:pPr>
      <w:ind w:left="227" w:hanging="227"/>
    </w:pPr>
    <w:rPr>
      <w:sz w:val="14"/>
      <w:szCs w:val="22"/>
    </w:rPr>
  </w:style>
  <w:style w:type="paragraph" w:customStyle="1" w:styleId="TableText">
    <w:name w:val="Table Text"/>
    <w:basedOn w:val="a"/>
    <w:rsid w:val="00A918BF"/>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A918BF"/>
    <w:pPr>
      <w:outlineLvl w:val="2"/>
    </w:pPr>
  </w:style>
  <w:style w:type="paragraph" w:customStyle="1" w:styleId="TableBlock">
    <w:name w:val="Table Block"/>
    <w:basedOn w:val="TableText"/>
    <w:rsid w:val="00A918BF"/>
    <w:pPr>
      <w:jc w:val="both"/>
    </w:pPr>
  </w:style>
  <w:style w:type="paragraph" w:customStyle="1" w:styleId="TableHead">
    <w:name w:val="Table Head"/>
    <w:basedOn w:val="TableText"/>
    <w:rsid w:val="00A918BF"/>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A918BF"/>
    <w:pPr>
      <w:outlineLvl w:val="9"/>
    </w:pPr>
  </w:style>
  <w:style w:type="paragraph" w:customStyle="1" w:styleId="Hesber">
    <w:name w:val="Hesber"/>
    <w:basedOn w:val="a"/>
    <w:rsid w:val="00A918BF"/>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A918BF"/>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A918BF"/>
    <w:rPr>
      <w:vertAlign w:val="superscript"/>
    </w:rPr>
  </w:style>
  <w:style w:type="paragraph" w:customStyle="1" w:styleId="HesberHeading">
    <w:name w:val="Hesber Heading"/>
    <w:basedOn w:val="Hesber"/>
    <w:rsid w:val="00A918BF"/>
    <w:pPr>
      <w:tabs>
        <w:tab w:val="left" w:pos="624"/>
        <w:tab w:val="left" w:pos="1247"/>
      </w:tabs>
    </w:pPr>
    <w:rPr>
      <w:b/>
      <w:bCs/>
    </w:rPr>
  </w:style>
  <w:style w:type="paragraph" w:customStyle="1" w:styleId="HesberWriters">
    <w:name w:val="Hesber Writers"/>
    <w:basedOn w:val="Hesber"/>
    <w:rsid w:val="00A918BF"/>
    <w:pPr>
      <w:spacing w:before="120" w:after="120"/>
      <w:ind w:left="1418"/>
      <w:jc w:val="right"/>
    </w:pPr>
    <w:rPr>
      <w:b/>
      <w:bCs/>
    </w:rPr>
  </w:style>
  <w:style w:type="paragraph" w:customStyle="1" w:styleId="Hesber1st">
    <w:name w:val="Hesber 1st"/>
    <w:basedOn w:val="Hesber"/>
    <w:rsid w:val="00A918BF"/>
    <w:pPr>
      <w:tabs>
        <w:tab w:val="left" w:pos="680"/>
        <w:tab w:val="left" w:pos="1020"/>
      </w:tabs>
      <w:ind w:firstLine="0"/>
    </w:pPr>
  </w:style>
  <w:style w:type="character" w:styleId="a7">
    <w:name w:val="endnote reference"/>
    <w:basedOn w:val="a0"/>
    <w:semiHidden/>
    <w:rsid w:val="00A918BF"/>
    <w:rPr>
      <w:vertAlign w:val="superscript"/>
    </w:rPr>
  </w:style>
  <w:style w:type="paragraph" w:customStyle="1" w:styleId="TableBlockOutdent">
    <w:name w:val="Table BlockOutdent"/>
    <w:basedOn w:val="TableBlock"/>
    <w:rsid w:val="00A918BF"/>
    <w:pPr>
      <w:ind w:left="624" w:hanging="624"/>
    </w:pPr>
  </w:style>
  <w:style w:type="paragraph" w:styleId="a8">
    <w:name w:val="header"/>
    <w:basedOn w:val="a"/>
    <w:rsid w:val="00A918BF"/>
    <w:pPr>
      <w:tabs>
        <w:tab w:val="center" w:pos="4153"/>
        <w:tab w:val="right" w:pos="8306"/>
      </w:tabs>
    </w:pPr>
  </w:style>
  <w:style w:type="paragraph" w:styleId="a9">
    <w:name w:val="footer"/>
    <w:basedOn w:val="a"/>
    <w:rsid w:val="00A918BF"/>
    <w:pPr>
      <w:tabs>
        <w:tab w:val="center" w:pos="4153"/>
        <w:tab w:val="right" w:pos="8306"/>
      </w:tabs>
    </w:pPr>
  </w:style>
  <w:style w:type="paragraph" w:customStyle="1" w:styleId="HeadDivreiHesber">
    <w:name w:val="Head DivreiHesber"/>
    <w:basedOn w:val="a"/>
    <w:rsid w:val="00A918BF"/>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A918BF"/>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A918BF"/>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locked/>
    <w:rsid w:val="00D32A99"/>
    <w:rPr>
      <w:rFonts w:ascii="Arial" w:eastAsia="Arial Unicode MS" w:hAnsi="Arial" w:cs="David"/>
      <w:snapToGrid w:val="0"/>
      <w:sz w:val="14"/>
    </w:rPr>
  </w:style>
  <w:style w:type="character" w:customStyle="1" w:styleId="10">
    <w:name w:val="כותרת 1 תו"/>
    <w:basedOn w:val="a0"/>
    <w:link w:val="1"/>
    <w:uiPriority w:val="9"/>
    <w:rsid w:val="00A918BF"/>
    <w:rPr>
      <w:rFonts w:asciiTheme="majorHAnsi" w:eastAsiaTheme="majorEastAsia" w:hAnsiTheme="majorHAnsi" w:cs="David"/>
      <w:bCs/>
      <w:sz w:val="32"/>
      <w:szCs w:val="36"/>
    </w:rPr>
  </w:style>
  <w:style w:type="character" w:customStyle="1" w:styleId="20">
    <w:name w:val="כותרת 2 תו"/>
    <w:basedOn w:val="a0"/>
    <w:link w:val="2"/>
    <w:rsid w:val="00A918BF"/>
    <w:rPr>
      <w:rFonts w:asciiTheme="majorHAnsi" w:eastAsiaTheme="majorEastAsia" w:hAnsiTheme="majorHAnsi" w:cs="David"/>
      <w:bCs/>
      <w:sz w:val="26"/>
      <w:szCs w:val="36"/>
      <w:u w:val="single"/>
    </w:rPr>
  </w:style>
  <w:style w:type="character" w:customStyle="1" w:styleId="30">
    <w:name w:val="כותרת 3 תו"/>
    <w:basedOn w:val="a0"/>
    <w:link w:val="3"/>
    <w:rsid w:val="00A918BF"/>
    <w:rPr>
      <w:rFonts w:asciiTheme="majorHAnsi" w:eastAsiaTheme="majorEastAsia" w:hAnsiTheme="majorHAnsi" w:cs="David"/>
      <w:sz w:val="24"/>
      <w:szCs w:val="28"/>
      <w:u w:val="double"/>
    </w:rPr>
  </w:style>
  <w:style w:type="character" w:customStyle="1" w:styleId="40">
    <w:name w:val="כותרת 4 תו"/>
    <w:basedOn w:val="a0"/>
    <w:link w:val="4"/>
    <w:uiPriority w:val="9"/>
    <w:rsid w:val="00A918BF"/>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A918BF"/>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A918BF"/>
    <w:pPr>
      <w:widowControl/>
      <w:spacing w:before="120" w:after="120"/>
      <w:outlineLvl w:val="9"/>
    </w:pPr>
    <w:rPr>
      <w:rtl/>
      <w:cs/>
    </w:rPr>
  </w:style>
  <w:style w:type="paragraph" w:styleId="TOC1">
    <w:name w:val="toc 1"/>
    <w:basedOn w:val="a"/>
    <w:next w:val="a"/>
    <w:autoRedefine/>
    <w:uiPriority w:val="39"/>
    <w:unhideWhenUsed/>
    <w:rsid w:val="00A918BF"/>
    <w:pPr>
      <w:tabs>
        <w:tab w:val="right" w:leader="dot" w:pos="9629"/>
      </w:tabs>
      <w:spacing w:after="100"/>
    </w:pPr>
    <w:rPr>
      <w:bCs/>
      <w:szCs w:val="22"/>
    </w:rPr>
  </w:style>
  <w:style w:type="paragraph" w:styleId="TOC2">
    <w:name w:val="toc 2"/>
    <w:basedOn w:val="a"/>
    <w:next w:val="a"/>
    <w:uiPriority w:val="39"/>
    <w:unhideWhenUsed/>
    <w:rsid w:val="00A918BF"/>
    <w:pPr>
      <w:tabs>
        <w:tab w:val="right" w:leader="dot" w:pos="9628"/>
      </w:tabs>
      <w:spacing w:after="100"/>
    </w:pPr>
    <w:rPr>
      <w:szCs w:val="22"/>
    </w:rPr>
  </w:style>
  <w:style w:type="character" w:styleId="Hyperlink">
    <w:name w:val="Hyperlink"/>
    <w:basedOn w:val="a0"/>
    <w:uiPriority w:val="99"/>
    <w:unhideWhenUsed/>
    <w:rsid w:val="00A918BF"/>
    <w:rPr>
      <w:color w:val="0000FF" w:themeColor="hyperlink"/>
      <w:u w:val="single"/>
    </w:rPr>
  </w:style>
  <w:style w:type="paragraph" w:styleId="TOC3">
    <w:name w:val="toc 3"/>
    <w:basedOn w:val="a"/>
    <w:next w:val="a"/>
    <w:uiPriority w:val="39"/>
    <w:unhideWhenUsed/>
    <w:rsid w:val="00A918BF"/>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A918BF"/>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A918BF"/>
    <w:pPr>
      <w:tabs>
        <w:tab w:val="right" w:leader="dot" w:pos="9628"/>
      </w:tabs>
      <w:spacing w:after="100"/>
      <w:ind w:left="567"/>
    </w:pPr>
    <w:rPr>
      <w:szCs w:val="22"/>
    </w:rPr>
  </w:style>
  <w:style w:type="paragraph" w:styleId="TOC6">
    <w:name w:val="toc 6"/>
    <w:basedOn w:val="a"/>
    <w:next w:val="a"/>
    <w:autoRedefine/>
    <w:semiHidden/>
    <w:unhideWhenUsed/>
    <w:rsid w:val="00A918BF"/>
    <w:pPr>
      <w:spacing w:after="100"/>
      <w:ind w:left="850"/>
    </w:pPr>
  </w:style>
  <w:style w:type="paragraph" w:styleId="TOC7">
    <w:name w:val="toc 7"/>
    <w:basedOn w:val="a"/>
    <w:next w:val="a"/>
    <w:autoRedefine/>
    <w:semiHidden/>
    <w:unhideWhenUsed/>
    <w:rsid w:val="00A918BF"/>
    <w:pPr>
      <w:spacing w:after="100"/>
      <w:ind w:left="1020"/>
    </w:pPr>
  </w:style>
  <w:style w:type="paragraph" w:styleId="TOC8">
    <w:name w:val="toc 8"/>
    <w:basedOn w:val="a"/>
    <w:next w:val="a"/>
    <w:autoRedefine/>
    <w:semiHidden/>
    <w:unhideWhenUsed/>
    <w:rsid w:val="00A918BF"/>
    <w:pPr>
      <w:spacing w:after="100"/>
      <w:ind w:left="1190"/>
    </w:pPr>
  </w:style>
  <w:style w:type="paragraph" w:styleId="TOC9">
    <w:name w:val="toc 9"/>
    <w:basedOn w:val="a"/>
    <w:next w:val="a"/>
    <w:autoRedefine/>
    <w:semiHidden/>
    <w:unhideWhenUsed/>
    <w:rsid w:val="00A918BF"/>
    <w:pPr>
      <w:spacing w:after="100"/>
      <w:ind w:left="1360"/>
    </w:pPr>
  </w:style>
  <w:style w:type="paragraph" w:customStyle="1" w:styleId="TableHead2">
    <w:name w:val="Table Head2"/>
    <w:basedOn w:val="TableHead"/>
    <w:qFormat/>
    <w:rsid w:val="00A918BF"/>
    <w:pPr>
      <w:outlineLvl w:val="9"/>
    </w:pPr>
  </w:style>
  <w:style w:type="paragraph" w:customStyle="1" w:styleId="TableSideHeading2">
    <w:name w:val="Table SideHeading2"/>
    <w:basedOn w:val="TableSideHeading"/>
    <w:autoRedefine/>
    <w:qFormat/>
    <w:rsid w:val="00A918BF"/>
    <w:pPr>
      <w:keepLines w:val="0"/>
      <w:outlineLvl w:val="9"/>
    </w:pPr>
  </w:style>
  <w:style w:type="paragraph" w:customStyle="1" w:styleId="0">
    <w:name w:val="סגנון שורה ראשונה:  0  ס''מ"/>
    <w:basedOn w:val="2"/>
    <w:rsid w:val="00A918BF"/>
    <w:rPr>
      <w:rFonts w:eastAsia="Times New Roman"/>
    </w:rPr>
  </w:style>
  <w:style w:type="paragraph" w:styleId="af">
    <w:name w:val="List Paragraph"/>
    <w:basedOn w:val="a"/>
    <w:uiPriority w:val="34"/>
    <w:qFormat/>
    <w:rsid w:val="00A918BF"/>
    <w:pPr>
      <w:widowControl/>
      <w:spacing w:line="259" w:lineRule="auto"/>
    </w:pPr>
    <w:rPr>
      <w:rFonts w:asciiTheme="minorHAnsi" w:hAnsiTheme="minorHAnsi"/>
      <w:sz w:val="22"/>
    </w:rPr>
  </w:style>
  <w:style w:type="table" w:styleId="af0">
    <w:name w:val="Table Grid"/>
    <w:basedOn w:val="a1"/>
    <w:rsid w:val="00A91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A918B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A918B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A918BF"/>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A918BF"/>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73B17C56-53DF-42CA-AAD8-38F1D531D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purl.org/dc/terms/"/>
    <ds:schemaRef ds:uri="http://www.w3.org/XML/1998/namespace"/>
    <ds:schemaRef ds:uri="http://schemas.microsoft.com/office/2006/documentManagement/types"/>
    <ds:schemaRef ds:uri="290d5b49-c690-4c6f-bbb9-1e50dab33ee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EE21F4B-6B95-45F2-8AA2-8A8691713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325</Words>
  <Characters>1628</Characters>
  <Application>Microsoft Office Word</Application>
  <DocSecurity>0</DocSecurity>
  <Lines>13</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7</cp:revision>
  <cp:lastPrinted>2013-07-04T08:25:00Z</cp:lastPrinted>
  <dcterms:created xsi:type="dcterms:W3CDTF">2015-04-20T09:58:00Z</dcterms:created>
  <dcterms:modified xsi:type="dcterms:W3CDTF">2023-02-08T09:49:00Z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2200976</vt:r8>
  </property>
</Properties>
</file>